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FCC87" w14:textId="7081C56B" w:rsidR="00511F64" w:rsidRPr="00401007" w:rsidRDefault="0089521F" w:rsidP="0089521F">
      <w:pPr>
        <w:jc w:val="both"/>
        <w:rPr>
          <w:rFonts w:ascii="Times New Roman" w:hAnsi="Times New Roman" w:cs="Times New Roman"/>
          <w:b/>
          <w:bCs/>
          <w:sz w:val="24"/>
          <w:szCs w:val="24"/>
        </w:rPr>
      </w:pPr>
      <w:r w:rsidRPr="00401007">
        <w:rPr>
          <w:rFonts w:ascii="Times New Roman" w:hAnsi="Times New Roman" w:cs="Times New Roman"/>
          <w:sz w:val="24"/>
          <w:szCs w:val="24"/>
        </w:rPr>
        <w:t xml:space="preserve">Borsa di studio: </w:t>
      </w:r>
      <w:r w:rsidRPr="00401007">
        <w:rPr>
          <w:rFonts w:ascii="Times New Roman" w:hAnsi="Times New Roman" w:cs="Times New Roman"/>
          <w:b/>
          <w:bCs/>
          <w:sz w:val="24"/>
          <w:szCs w:val="24"/>
        </w:rPr>
        <w:t xml:space="preserve">Valutazione della prevalenza e </w:t>
      </w:r>
      <w:r w:rsidR="00F751F0" w:rsidRPr="00401007">
        <w:rPr>
          <w:rFonts w:ascii="Times New Roman" w:hAnsi="Times New Roman" w:cs="Times New Roman"/>
          <w:b/>
          <w:bCs/>
          <w:sz w:val="24"/>
          <w:szCs w:val="24"/>
        </w:rPr>
        <w:t>della sensibilità antimicrobica</w:t>
      </w:r>
      <w:r w:rsidRPr="00401007">
        <w:rPr>
          <w:rFonts w:ascii="Times New Roman" w:hAnsi="Times New Roman" w:cs="Times New Roman"/>
          <w:b/>
          <w:bCs/>
          <w:sz w:val="24"/>
          <w:szCs w:val="24"/>
        </w:rPr>
        <w:t xml:space="preserve"> </w:t>
      </w:r>
      <w:r w:rsidR="00F751F0" w:rsidRPr="00401007">
        <w:rPr>
          <w:rFonts w:ascii="Times New Roman" w:hAnsi="Times New Roman" w:cs="Times New Roman"/>
          <w:b/>
          <w:bCs/>
          <w:sz w:val="24"/>
          <w:szCs w:val="24"/>
        </w:rPr>
        <w:t>di specie di</w:t>
      </w:r>
      <w:r w:rsidRPr="00401007">
        <w:rPr>
          <w:rFonts w:ascii="Times New Roman" w:hAnsi="Times New Roman" w:cs="Times New Roman"/>
          <w:b/>
          <w:bCs/>
          <w:sz w:val="24"/>
          <w:szCs w:val="24"/>
        </w:rPr>
        <w:t xml:space="preserve"> </w:t>
      </w:r>
      <w:r w:rsidRPr="00401007">
        <w:rPr>
          <w:rFonts w:ascii="Times New Roman" w:hAnsi="Times New Roman" w:cs="Times New Roman"/>
          <w:b/>
          <w:bCs/>
          <w:i/>
          <w:iCs/>
          <w:sz w:val="24"/>
          <w:szCs w:val="24"/>
        </w:rPr>
        <w:t>Neisseria</w:t>
      </w:r>
      <w:r w:rsidR="00124564">
        <w:rPr>
          <w:rFonts w:ascii="Times New Roman" w:hAnsi="Times New Roman" w:cs="Times New Roman"/>
          <w:b/>
          <w:bCs/>
          <w:sz w:val="24"/>
          <w:szCs w:val="24"/>
        </w:rPr>
        <w:t xml:space="preserve"> spp. isolate</w:t>
      </w:r>
      <w:r w:rsidRPr="00401007">
        <w:rPr>
          <w:rFonts w:ascii="Times New Roman" w:hAnsi="Times New Roman" w:cs="Times New Roman"/>
          <w:b/>
          <w:bCs/>
          <w:sz w:val="24"/>
          <w:szCs w:val="24"/>
        </w:rPr>
        <w:t xml:space="preserve"> da orofaringe</w:t>
      </w:r>
    </w:p>
    <w:p w14:paraId="507BDB79" w14:textId="3A9F809B" w:rsidR="0089521F" w:rsidRPr="00401007" w:rsidRDefault="0089521F" w:rsidP="0089521F">
      <w:pPr>
        <w:jc w:val="both"/>
        <w:rPr>
          <w:rFonts w:ascii="Times New Roman" w:hAnsi="Times New Roman" w:cs="Times New Roman"/>
          <w:b/>
          <w:bCs/>
          <w:sz w:val="24"/>
          <w:szCs w:val="24"/>
        </w:rPr>
      </w:pPr>
    </w:p>
    <w:p w14:paraId="1BD2AED0" w14:textId="24824F04" w:rsidR="00F751F0" w:rsidRPr="00401007" w:rsidRDefault="00F751F0" w:rsidP="0089521F">
      <w:pPr>
        <w:jc w:val="both"/>
        <w:rPr>
          <w:rFonts w:ascii="Times New Roman" w:hAnsi="Times New Roman" w:cs="Times New Roman"/>
          <w:sz w:val="24"/>
          <w:szCs w:val="24"/>
        </w:rPr>
      </w:pPr>
      <w:r w:rsidRPr="00401007">
        <w:rPr>
          <w:rFonts w:ascii="Times New Roman" w:hAnsi="Times New Roman" w:cs="Times New Roman"/>
          <w:sz w:val="24"/>
          <w:szCs w:val="24"/>
        </w:rPr>
        <w:t xml:space="preserve">Alcune specie batteriche del genere </w:t>
      </w:r>
      <w:r w:rsidRPr="00401007">
        <w:rPr>
          <w:rFonts w:ascii="Times New Roman" w:hAnsi="Times New Roman" w:cs="Times New Roman"/>
          <w:i/>
          <w:iCs/>
          <w:sz w:val="24"/>
          <w:szCs w:val="24"/>
        </w:rPr>
        <w:t xml:space="preserve">Neisseria </w:t>
      </w:r>
      <w:r w:rsidRPr="00401007">
        <w:rPr>
          <w:rFonts w:ascii="Times New Roman" w:hAnsi="Times New Roman" w:cs="Times New Roman"/>
          <w:sz w:val="24"/>
          <w:szCs w:val="24"/>
        </w:rPr>
        <w:t>(</w:t>
      </w:r>
      <w:r w:rsidRPr="00401007">
        <w:rPr>
          <w:rFonts w:ascii="Times New Roman" w:hAnsi="Times New Roman" w:cs="Times New Roman"/>
          <w:i/>
          <w:iCs/>
          <w:sz w:val="24"/>
          <w:szCs w:val="24"/>
        </w:rPr>
        <w:t xml:space="preserve">N. </w:t>
      </w:r>
      <w:proofErr w:type="spellStart"/>
      <w:r w:rsidRPr="00401007">
        <w:rPr>
          <w:rFonts w:ascii="Times New Roman" w:hAnsi="Times New Roman" w:cs="Times New Roman"/>
          <w:i/>
          <w:iCs/>
          <w:sz w:val="24"/>
          <w:szCs w:val="24"/>
        </w:rPr>
        <w:t>lactamica</w:t>
      </w:r>
      <w:proofErr w:type="spellEnd"/>
      <w:r w:rsidRPr="00401007">
        <w:rPr>
          <w:rFonts w:ascii="Times New Roman" w:hAnsi="Times New Roman" w:cs="Times New Roman"/>
          <w:i/>
          <w:iCs/>
          <w:sz w:val="24"/>
          <w:szCs w:val="24"/>
        </w:rPr>
        <w:t xml:space="preserve">, N. </w:t>
      </w:r>
      <w:proofErr w:type="spellStart"/>
      <w:r w:rsidRPr="00401007">
        <w:rPr>
          <w:rFonts w:ascii="Times New Roman" w:hAnsi="Times New Roman" w:cs="Times New Roman"/>
          <w:i/>
          <w:iCs/>
          <w:sz w:val="24"/>
          <w:szCs w:val="24"/>
        </w:rPr>
        <w:t>subflava</w:t>
      </w:r>
      <w:proofErr w:type="spellEnd"/>
      <w:r w:rsidRPr="00401007">
        <w:rPr>
          <w:rFonts w:ascii="Times New Roman" w:hAnsi="Times New Roman" w:cs="Times New Roman"/>
          <w:sz w:val="24"/>
          <w:szCs w:val="24"/>
        </w:rPr>
        <w:t xml:space="preserve">…) sono importanti componenti del normale microbioma orofaringeo umano. Le evidenze suggeriscono che vi sia un allarmante aumento della resistenza ai farmaci antimicrobici in ceppi di neisserie commensali, sia nella popolazione generale che in popolazioni selezionate (es: MSM, ovvero uomini che fanno sesso con altri uomini). Questa scoperta è preoccupante in quanto questi microrganismi forniscono un significativo serbatoio di geni di resistenza che possono essere trasferiti orizzontalmente a batteri patogeni (es: </w:t>
      </w:r>
      <w:r w:rsidRPr="00401007">
        <w:rPr>
          <w:rFonts w:ascii="Times New Roman" w:hAnsi="Times New Roman" w:cs="Times New Roman"/>
          <w:i/>
          <w:iCs/>
          <w:sz w:val="24"/>
          <w:szCs w:val="24"/>
        </w:rPr>
        <w:t xml:space="preserve">N. </w:t>
      </w:r>
      <w:proofErr w:type="spellStart"/>
      <w:r w:rsidRPr="00401007">
        <w:rPr>
          <w:rFonts w:ascii="Times New Roman" w:hAnsi="Times New Roman" w:cs="Times New Roman"/>
          <w:i/>
          <w:iCs/>
          <w:sz w:val="24"/>
          <w:szCs w:val="24"/>
        </w:rPr>
        <w:t>gonorrhoeae</w:t>
      </w:r>
      <w:proofErr w:type="spellEnd"/>
      <w:r w:rsidRPr="00401007">
        <w:rPr>
          <w:rFonts w:ascii="Times New Roman" w:hAnsi="Times New Roman" w:cs="Times New Roman"/>
          <w:sz w:val="24"/>
          <w:szCs w:val="24"/>
        </w:rPr>
        <w:t xml:space="preserve">), aumentando così il fenomeno dell’antibiotico resistenza. Ad esempio, è stato recentemente dimostrato che l'acquisizione di sezioni del gene codificante per la pompa di efflusso </w:t>
      </w:r>
      <w:proofErr w:type="spellStart"/>
      <w:r w:rsidRPr="00401007">
        <w:rPr>
          <w:rFonts w:ascii="Times New Roman" w:hAnsi="Times New Roman" w:cs="Times New Roman"/>
          <w:sz w:val="24"/>
          <w:szCs w:val="24"/>
        </w:rPr>
        <w:t>mtrCDE</w:t>
      </w:r>
      <w:proofErr w:type="spellEnd"/>
      <w:r w:rsidRPr="00401007">
        <w:rPr>
          <w:rFonts w:ascii="Times New Roman" w:hAnsi="Times New Roman" w:cs="Times New Roman"/>
          <w:sz w:val="24"/>
          <w:szCs w:val="24"/>
        </w:rPr>
        <w:t xml:space="preserve"> da parte di </w:t>
      </w:r>
      <w:r w:rsidRPr="00401007">
        <w:rPr>
          <w:rFonts w:ascii="Times New Roman" w:hAnsi="Times New Roman" w:cs="Times New Roman"/>
          <w:i/>
          <w:iCs/>
          <w:sz w:val="24"/>
          <w:szCs w:val="24"/>
        </w:rPr>
        <w:t xml:space="preserve">N. </w:t>
      </w:r>
      <w:proofErr w:type="spellStart"/>
      <w:r w:rsidRPr="00401007">
        <w:rPr>
          <w:rFonts w:ascii="Times New Roman" w:hAnsi="Times New Roman" w:cs="Times New Roman"/>
          <w:i/>
          <w:iCs/>
          <w:sz w:val="24"/>
          <w:szCs w:val="24"/>
        </w:rPr>
        <w:t>gonorrhoeae</w:t>
      </w:r>
      <w:proofErr w:type="spellEnd"/>
      <w:r w:rsidRPr="00401007">
        <w:rPr>
          <w:rFonts w:ascii="Times New Roman" w:hAnsi="Times New Roman" w:cs="Times New Roman"/>
          <w:sz w:val="24"/>
          <w:szCs w:val="24"/>
        </w:rPr>
        <w:t xml:space="preserve"> da batteri commensali del genere </w:t>
      </w:r>
      <w:r w:rsidRPr="00401007">
        <w:rPr>
          <w:rFonts w:ascii="Times New Roman" w:hAnsi="Times New Roman" w:cs="Times New Roman"/>
          <w:i/>
          <w:iCs/>
          <w:sz w:val="24"/>
          <w:szCs w:val="24"/>
        </w:rPr>
        <w:t>Neisseria</w:t>
      </w:r>
      <w:r w:rsidRPr="00401007">
        <w:rPr>
          <w:rFonts w:ascii="Times New Roman" w:hAnsi="Times New Roman" w:cs="Times New Roman"/>
          <w:sz w:val="24"/>
          <w:szCs w:val="24"/>
        </w:rPr>
        <w:t xml:space="preserve">, ha svolto un ruolo cruciale nell'emergere della resistenza ai macrolidi in gonococco. </w:t>
      </w:r>
    </w:p>
    <w:p w14:paraId="209148B6" w14:textId="43AC3F2A" w:rsidR="00F751F0" w:rsidRPr="00401007" w:rsidRDefault="00F751F0" w:rsidP="0089521F">
      <w:pPr>
        <w:jc w:val="both"/>
        <w:rPr>
          <w:rFonts w:ascii="Times New Roman" w:hAnsi="Times New Roman" w:cs="Times New Roman"/>
          <w:sz w:val="24"/>
          <w:szCs w:val="24"/>
        </w:rPr>
      </w:pPr>
      <w:r w:rsidRPr="00401007">
        <w:rPr>
          <w:rFonts w:ascii="Times New Roman" w:hAnsi="Times New Roman" w:cs="Times New Roman"/>
          <w:sz w:val="24"/>
          <w:szCs w:val="24"/>
        </w:rPr>
        <w:t xml:space="preserve">Il progetto si propone di studiare la prevalenza e il tipo di specie batteriche commensali del genere </w:t>
      </w:r>
      <w:r w:rsidRPr="00401007">
        <w:rPr>
          <w:rFonts w:ascii="Times New Roman" w:hAnsi="Times New Roman" w:cs="Times New Roman"/>
          <w:i/>
          <w:iCs/>
          <w:sz w:val="24"/>
          <w:szCs w:val="24"/>
        </w:rPr>
        <w:t>Neisseria</w:t>
      </w:r>
      <w:r w:rsidRPr="00401007">
        <w:rPr>
          <w:rFonts w:ascii="Times New Roman" w:hAnsi="Times New Roman" w:cs="Times New Roman"/>
          <w:sz w:val="24"/>
          <w:szCs w:val="24"/>
        </w:rPr>
        <w:t xml:space="preserve"> presenti a livello dell'orofaringe, in </w:t>
      </w:r>
      <w:r w:rsidR="00072A26" w:rsidRPr="00401007">
        <w:rPr>
          <w:rFonts w:ascii="Times New Roman" w:hAnsi="Times New Roman" w:cs="Times New Roman"/>
          <w:sz w:val="24"/>
          <w:szCs w:val="24"/>
        </w:rPr>
        <w:t xml:space="preserve">diverse </w:t>
      </w:r>
      <w:r w:rsidRPr="00401007">
        <w:rPr>
          <w:rFonts w:ascii="Times New Roman" w:hAnsi="Times New Roman" w:cs="Times New Roman"/>
          <w:sz w:val="24"/>
          <w:szCs w:val="24"/>
        </w:rPr>
        <w:t>popolazion</w:t>
      </w:r>
      <w:r w:rsidR="00072A26" w:rsidRPr="00401007">
        <w:rPr>
          <w:rFonts w:ascii="Times New Roman" w:hAnsi="Times New Roman" w:cs="Times New Roman"/>
          <w:sz w:val="24"/>
          <w:szCs w:val="24"/>
        </w:rPr>
        <w:t>i (es. studenti, MSM…)</w:t>
      </w:r>
      <w:r w:rsidRPr="00401007">
        <w:rPr>
          <w:rFonts w:ascii="Times New Roman" w:hAnsi="Times New Roman" w:cs="Times New Roman"/>
          <w:sz w:val="24"/>
          <w:szCs w:val="24"/>
        </w:rPr>
        <w:t xml:space="preserve">. Sarà indagato il profilo di resistenza di tali microrganismi ai più comuni antibiotici come </w:t>
      </w:r>
      <w:proofErr w:type="spellStart"/>
      <w:r w:rsidRPr="00401007">
        <w:rPr>
          <w:rFonts w:ascii="Times New Roman" w:hAnsi="Times New Roman" w:cs="Times New Roman"/>
          <w:sz w:val="24"/>
          <w:szCs w:val="24"/>
        </w:rPr>
        <w:t>ciprofloxacina</w:t>
      </w:r>
      <w:proofErr w:type="spellEnd"/>
      <w:r w:rsidRPr="00401007">
        <w:rPr>
          <w:rFonts w:ascii="Times New Roman" w:hAnsi="Times New Roman" w:cs="Times New Roman"/>
          <w:sz w:val="24"/>
          <w:szCs w:val="24"/>
        </w:rPr>
        <w:t xml:space="preserve">, </w:t>
      </w:r>
      <w:proofErr w:type="spellStart"/>
      <w:r w:rsidRPr="00401007">
        <w:rPr>
          <w:rFonts w:ascii="Times New Roman" w:hAnsi="Times New Roman" w:cs="Times New Roman"/>
          <w:sz w:val="24"/>
          <w:szCs w:val="24"/>
        </w:rPr>
        <w:t>ceftriaxone</w:t>
      </w:r>
      <w:proofErr w:type="spellEnd"/>
      <w:r w:rsidRPr="00401007">
        <w:rPr>
          <w:rFonts w:ascii="Times New Roman" w:hAnsi="Times New Roman" w:cs="Times New Roman"/>
          <w:sz w:val="24"/>
          <w:szCs w:val="24"/>
        </w:rPr>
        <w:t xml:space="preserve"> e </w:t>
      </w:r>
      <w:proofErr w:type="spellStart"/>
      <w:r w:rsidRPr="00401007">
        <w:rPr>
          <w:rFonts w:ascii="Times New Roman" w:hAnsi="Times New Roman" w:cs="Times New Roman"/>
          <w:sz w:val="24"/>
          <w:szCs w:val="24"/>
        </w:rPr>
        <w:t>azitromicina</w:t>
      </w:r>
      <w:proofErr w:type="spellEnd"/>
      <w:r w:rsidRPr="00401007">
        <w:rPr>
          <w:rFonts w:ascii="Times New Roman" w:hAnsi="Times New Roman" w:cs="Times New Roman"/>
          <w:sz w:val="24"/>
          <w:szCs w:val="24"/>
        </w:rPr>
        <w:t>. Lo scopo è quello di migliorare le conoscenze sul fenomeno dell'antibiotico resistenza e sul potenziale ruolo dei microrganismi commensali come fonte di determinanti di resistenza. L'ipotesi è che questi batteri che per loro natura non sono patogeni, possano trasferire geni di resistenza a batteri patogeni, incrementando così il problema della resistenza ai farmaci. Tramite la raccolta di informazioni sul precedente consumo individuale di antibiotici, sarà inoltre possibile valutare se questo fenomeno rappresenta un fattore di rischio per la diffusione di ceppi di neisserie resistenti ai farmaci.</w:t>
      </w:r>
    </w:p>
    <w:p w14:paraId="35F8D1EE" w14:textId="1339CDD8" w:rsidR="00072A26" w:rsidRPr="00401007" w:rsidRDefault="00072A26" w:rsidP="0089521F">
      <w:pPr>
        <w:jc w:val="both"/>
        <w:rPr>
          <w:rFonts w:ascii="Times New Roman" w:hAnsi="Times New Roman" w:cs="Times New Roman"/>
          <w:b/>
          <w:bCs/>
          <w:sz w:val="24"/>
          <w:szCs w:val="24"/>
        </w:rPr>
      </w:pPr>
      <w:r w:rsidRPr="00401007">
        <w:rPr>
          <w:rFonts w:ascii="Times New Roman" w:hAnsi="Times New Roman" w:cs="Times New Roman"/>
          <w:sz w:val="24"/>
          <w:szCs w:val="24"/>
        </w:rPr>
        <w:t>Verrà inoltre studiata la composizione del microbioma faringeo mediante tecniche di sequenziamento del gene 16s rRNA</w:t>
      </w:r>
      <w:r w:rsidR="00401007" w:rsidRPr="00401007">
        <w:rPr>
          <w:rFonts w:ascii="Times New Roman" w:hAnsi="Times New Roman" w:cs="Times New Roman"/>
          <w:sz w:val="24"/>
          <w:szCs w:val="24"/>
        </w:rPr>
        <w:t xml:space="preserve"> al fine di individuare eventuali profili microbici associati ad </w:t>
      </w:r>
      <w:r w:rsidR="00124564">
        <w:rPr>
          <w:rFonts w:ascii="Times New Roman" w:hAnsi="Times New Roman" w:cs="Times New Roman"/>
          <w:sz w:val="24"/>
          <w:szCs w:val="24"/>
        </w:rPr>
        <w:t>un maggio rischio di albergare n</w:t>
      </w:r>
      <w:r w:rsidR="00401007" w:rsidRPr="00401007">
        <w:rPr>
          <w:rFonts w:ascii="Times New Roman" w:hAnsi="Times New Roman" w:cs="Times New Roman"/>
          <w:sz w:val="24"/>
          <w:szCs w:val="24"/>
        </w:rPr>
        <w:t>eisserie resistenti a livello faringeo</w:t>
      </w:r>
      <w:r w:rsidR="00124564">
        <w:rPr>
          <w:rFonts w:ascii="Times New Roman" w:hAnsi="Times New Roman" w:cs="Times New Roman"/>
          <w:sz w:val="24"/>
          <w:szCs w:val="24"/>
        </w:rPr>
        <w:t>.</w:t>
      </w:r>
      <w:bookmarkStart w:id="0" w:name="_GoBack"/>
      <w:bookmarkEnd w:id="0"/>
    </w:p>
    <w:sectPr w:rsidR="00072A26" w:rsidRPr="004010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1F"/>
    <w:rsid w:val="00072A26"/>
    <w:rsid w:val="00124564"/>
    <w:rsid w:val="00401007"/>
    <w:rsid w:val="00511F64"/>
    <w:rsid w:val="0089521F"/>
    <w:rsid w:val="00F751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2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Foschi</dc:creator>
  <cp:lastModifiedBy>Claudio Foschi</cp:lastModifiedBy>
  <cp:revision>2</cp:revision>
  <dcterms:created xsi:type="dcterms:W3CDTF">2022-04-06T06:03:00Z</dcterms:created>
  <dcterms:modified xsi:type="dcterms:W3CDTF">2022-04-06T06:03:00Z</dcterms:modified>
</cp:coreProperties>
</file>